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2991" w14:textId="77777777" w:rsidR="002F2047" w:rsidRDefault="005015D4">
      <w:pPr>
        <w:spacing w:after="48"/>
        <w:ind w:right="172"/>
        <w:jc w:val="right"/>
      </w:pPr>
      <w:r>
        <w:rPr>
          <w:noProof/>
        </w:rPr>
        <w:drawing>
          <wp:inline distT="0" distB="0" distL="0" distR="0" wp14:anchorId="0454E3E5" wp14:editId="47B76869">
            <wp:extent cx="5348986" cy="3010535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8986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 xml:space="preserve"> </w:t>
      </w:r>
    </w:p>
    <w:p w14:paraId="4CA573BF" w14:textId="77777777" w:rsidR="002F2047" w:rsidRDefault="005015D4">
      <w:pPr>
        <w:spacing w:after="156"/>
        <w:ind w:left="4"/>
      </w:pPr>
      <w:r>
        <w:rPr>
          <w:sz w:val="44"/>
        </w:rPr>
        <w:t xml:space="preserve"> </w:t>
      </w:r>
    </w:p>
    <w:p w14:paraId="02563896" w14:textId="77777777" w:rsidR="002F2047" w:rsidRDefault="005015D4">
      <w:pPr>
        <w:pStyle w:val="Heading1"/>
        <w:ind w:left="-1"/>
      </w:pPr>
      <w:r>
        <w:t>References</w:t>
      </w:r>
      <w:r>
        <w:t xml:space="preserve"> </w:t>
      </w:r>
    </w:p>
    <w:p w14:paraId="40C58FEF" w14:textId="77777777" w:rsidR="002F2047" w:rsidRDefault="005015D4">
      <w:pPr>
        <w:spacing w:after="156"/>
        <w:ind w:left="4"/>
      </w:pPr>
      <w:r>
        <w:rPr>
          <w:sz w:val="24"/>
        </w:rPr>
        <w:t xml:space="preserve"> </w:t>
      </w:r>
    </w:p>
    <w:p w14:paraId="762F9B91" w14:textId="77777777" w:rsidR="002F2047" w:rsidRDefault="005015D4">
      <w:pPr>
        <w:spacing w:after="1" w:line="258" w:lineRule="auto"/>
        <w:ind w:left="-1" w:hanging="10"/>
      </w:pPr>
      <w:r>
        <w:rPr>
          <w:color w:val="333333"/>
          <w:sz w:val="24"/>
        </w:rPr>
        <w:t xml:space="preserve">Harris, Z. L., &amp; Landreth, G. L. (1997). Filial therapy with incarcerated mothers: A </w:t>
      </w:r>
      <w:proofErr w:type="gramStart"/>
      <w:r>
        <w:rPr>
          <w:color w:val="333333"/>
          <w:sz w:val="24"/>
        </w:rPr>
        <w:t>five week</w:t>
      </w:r>
      <w:proofErr w:type="gramEnd"/>
      <w:r>
        <w:rPr>
          <w:color w:val="333333"/>
          <w:sz w:val="24"/>
        </w:rPr>
        <w:t xml:space="preserve"> model. </w:t>
      </w:r>
      <w:r>
        <w:rPr>
          <w:i/>
          <w:color w:val="333333"/>
          <w:sz w:val="24"/>
        </w:rPr>
        <w:t>International Journal of Play Therapy, 6</w:t>
      </w:r>
      <w:r>
        <w:rPr>
          <w:color w:val="333333"/>
          <w:sz w:val="24"/>
        </w:rPr>
        <w:t>(2), 53–73.</w:t>
      </w:r>
      <w:r>
        <w:rPr>
          <w:sz w:val="24"/>
        </w:rPr>
        <w:t xml:space="preserve">  </w:t>
      </w:r>
    </w:p>
    <w:p w14:paraId="1B6FEF0E" w14:textId="77777777" w:rsidR="002F2047" w:rsidRDefault="005015D4">
      <w:pPr>
        <w:spacing w:after="0"/>
        <w:ind w:left="4"/>
      </w:pPr>
      <w:r>
        <w:rPr>
          <w:sz w:val="24"/>
        </w:rPr>
        <w:t xml:space="preserve"> </w:t>
      </w:r>
    </w:p>
    <w:p w14:paraId="3032BCC9" w14:textId="77777777" w:rsidR="002F2047" w:rsidRDefault="005015D4">
      <w:pPr>
        <w:spacing w:after="2" w:line="257" w:lineRule="auto"/>
        <w:ind w:left="-1" w:hanging="10"/>
      </w:pPr>
      <w:r>
        <w:rPr>
          <w:sz w:val="24"/>
        </w:rPr>
        <w:t xml:space="preserve">Landreth, G. L., &amp; </w:t>
      </w:r>
      <w:proofErr w:type="spellStart"/>
      <w:r>
        <w:rPr>
          <w:sz w:val="24"/>
        </w:rPr>
        <w:t>Lobaugh</w:t>
      </w:r>
      <w:proofErr w:type="spellEnd"/>
      <w:r>
        <w:rPr>
          <w:sz w:val="24"/>
        </w:rPr>
        <w:t xml:space="preserve">, A. F. (1998). </w:t>
      </w:r>
      <w:r>
        <w:rPr>
          <w:i/>
          <w:sz w:val="24"/>
        </w:rPr>
        <w:t xml:space="preserve">Filial Therapy </w:t>
      </w:r>
      <w:proofErr w:type="gramStart"/>
      <w:r>
        <w:rPr>
          <w:i/>
          <w:sz w:val="24"/>
        </w:rPr>
        <w:t>With</w:t>
      </w:r>
      <w:proofErr w:type="gramEnd"/>
      <w:r>
        <w:rPr>
          <w:i/>
          <w:sz w:val="24"/>
        </w:rPr>
        <w:t xml:space="preserve"> Incarcerated Fathers: </w:t>
      </w:r>
    </w:p>
    <w:p w14:paraId="2581368D" w14:textId="77777777" w:rsidR="002F2047" w:rsidRDefault="005015D4">
      <w:pPr>
        <w:spacing w:after="161"/>
      </w:pPr>
      <w:r>
        <w:rPr>
          <w:i/>
          <w:sz w:val="24"/>
        </w:rPr>
        <w:t xml:space="preserve">Effects on Parental Acceptance of Child, Parental Stress, and Child Adjustment. Journal of </w:t>
      </w:r>
      <w:proofErr w:type="spellStart"/>
      <w:r>
        <w:rPr>
          <w:i/>
          <w:sz w:val="24"/>
        </w:rPr>
        <w:t>Counseling</w:t>
      </w:r>
      <w:proofErr w:type="spellEnd"/>
      <w:r>
        <w:rPr>
          <w:i/>
          <w:sz w:val="24"/>
        </w:rPr>
        <w:t xml:space="preserve"> &amp; Development, 76(2), 157–165.  </w:t>
      </w:r>
    </w:p>
    <w:p w14:paraId="6916764B" w14:textId="77777777" w:rsidR="002F2047" w:rsidRDefault="005015D4">
      <w:pPr>
        <w:spacing w:after="159"/>
      </w:pPr>
      <w:r>
        <w:rPr>
          <w:i/>
          <w:sz w:val="24"/>
        </w:rPr>
        <w:t xml:space="preserve"> </w:t>
      </w:r>
    </w:p>
    <w:p w14:paraId="1DC5087E" w14:textId="77777777" w:rsidR="002F2047" w:rsidRDefault="005015D4">
      <w:pPr>
        <w:spacing w:after="157" w:line="258" w:lineRule="auto"/>
        <w:ind w:left="-1" w:right="652" w:hanging="10"/>
      </w:pPr>
      <w:r>
        <w:rPr>
          <w:color w:val="333333"/>
          <w:sz w:val="24"/>
        </w:rPr>
        <w:t>Gilmartin, D., &amp; McElvaney, R. (20</w:t>
      </w:r>
      <w:r>
        <w:rPr>
          <w:color w:val="333333"/>
          <w:sz w:val="24"/>
        </w:rPr>
        <w:t xml:space="preserve">20). Filial therapy as a core intervention with children in foster care. </w:t>
      </w:r>
      <w:r>
        <w:rPr>
          <w:i/>
          <w:color w:val="333333"/>
          <w:sz w:val="24"/>
        </w:rPr>
        <w:t>Child Abuse Review, 29</w:t>
      </w:r>
      <w:r>
        <w:rPr>
          <w:color w:val="333333"/>
          <w:sz w:val="24"/>
        </w:rPr>
        <w:t>(2), 159– 166.</w:t>
      </w:r>
      <w:hyperlink r:id="rId5">
        <w:r>
          <w:rPr>
            <w:color w:val="333333"/>
            <w:sz w:val="24"/>
          </w:rPr>
          <w:t xml:space="preserve"> </w:t>
        </w:r>
      </w:hyperlink>
      <w:hyperlink r:id="rId6">
        <w:r>
          <w:rPr>
            <w:color w:val="2C72B7"/>
            <w:sz w:val="24"/>
            <w:u w:val="single" w:color="2C72B7"/>
          </w:rPr>
          <w:t>https://doi.org/10.1002/car.2602</w:t>
        </w:r>
      </w:hyperlink>
      <w:hyperlink r:id="rId7">
        <w:r>
          <w:rPr>
            <w:sz w:val="24"/>
          </w:rPr>
          <w:t xml:space="preserve"> </w:t>
        </w:r>
      </w:hyperlink>
    </w:p>
    <w:p w14:paraId="2AE39D2C" w14:textId="77777777" w:rsidR="002F2047" w:rsidRDefault="005015D4">
      <w:pPr>
        <w:ind w:left="4"/>
      </w:pPr>
      <w:r>
        <w:rPr>
          <w:sz w:val="24"/>
        </w:rPr>
        <w:t xml:space="preserve"> </w:t>
      </w:r>
    </w:p>
    <w:p w14:paraId="79115AD3" w14:textId="77777777" w:rsidR="002F2047" w:rsidRDefault="005015D4">
      <w:pPr>
        <w:spacing w:after="162" w:line="257" w:lineRule="auto"/>
        <w:ind w:left="4"/>
      </w:pPr>
      <w:r>
        <w:rPr>
          <w:color w:val="222222"/>
          <w:sz w:val="24"/>
        </w:rPr>
        <w:t>Ford, Katharine, et al. "Understanding the prevalence of adverse childhood</w:t>
      </w:r>
      <w:r>
        <w:rPr>
          <w:color w:val="222222"/>
          <w:sz w:val="24"/>
        </w:rPr>
        <w:t xml:space="preserve"> experiences (ACEs) in a male offender population in Wales: the prisoner ACE survey." (2019). </w:t>
      </w:r>
    </w:p>
    <w:p w14:paraId="0B7C4F2E" w14:textId="77777777" w:rsidR="005015D4" w:rsidRDefault="005015D4">
      <w:pPr>
        <w:spacing w:line="257" w:lineRule="auto"/>
        <w:ind w:left="-1" w:hanging="10"/>
        <w:rPr>
          <w:sz w:val="24"/>
        </w:rPr>
      </w:pPr>
    </w:p>
    <w:p w14:paraId="29D6598C" w14:textId="775B7AA0" w:rsidR="002F2047" w:rsidRDefault="005015D4">
      <w:pPr>
        <w:spacing w:line="257" w:lineRule="auto"/>
        <w:ind w:left="-1" w:hanging="10"/>
      </w:pPr>
      <w:r>
        <w:rPr>
          <w:sz w:val="24"/>
        </w:rPr>
        <w:t xml:space="preserve">Merrick MT, Ford DC, Ports KA, et al. </w:t>
      </w:r>
      <w:r>
        <w:rPr>
          <w:i/>
          <w:sz w:val="24"/>
        </w:rPr>
        <w:t>Vital Signs:</w:t>
      </w:r>
      <w:r>
        <w:rPr>
          <w:sz w:val="24"/>
        </w:rPr>
        <w:t xml:space="preserve"> </w:t>
      </w:r>
      <w:r>
        <w:rPr>
          <w:sz w:val="24"/>
        </w:rPr>
        <w:t xml:space="preserve">Estimated Proportion of Adult Health Problems Attributable to Adverse Childhood Experiences and Implications for Prevention — 25 States, 2015–2017. MMWR </w:t>
      </w:r>
      <w:proofErr w:type="spellStart"/>
      <w:r>
        <w:rPr>
          <w:sz w:val="24"/>
        </w:rPr>
        <w:t>Morb</w:t>
      </w:r>
      <w:proofErr w:type="spellEnd"/>
      <w:r>
        <w:rPr>
          <w:sz w:val="24"/>
        </w:rPr>
        <w:t xml:space="preserve"> Mortal </w:t>
      </w:r>
      <w:proofErr w:type="spellStart"/>
      <w:r>
        <w:rPr>
          <w:sz w:val="24"/>
        </w:rPr>
        <w:t>Wkly</w:t>
      </w:r>
      <w:proofErr w:type="spellEnd"/>
      <w:r>
        <w:rPr>
          <w:sz w:val="24"/>
        </w:rPr>
        <w:t xml:space="preserve"> Rep </w:t>
      </w:r>
      <w:proofErr w:type="gramStart"/>
      <w:r>
        <w:rPr>
          <w:sz w:val="24"/>
        </w:rPr>
        <w:t>2019;68:999</w:t>
      </w:r>
      <w:proofErr w:type="gramEnd"/>
      <w:r>
        <w:rPr>
          <w:sz w:val="24"/>
        </w:rPr>
        <w:t xml:space="preserve">-1005.  </w:t>
      </w:r>
    </w:p>
    <w:p w14:paraId="1F36244E" w14:textId="77777777" w:rsidR="002F2047" w:rsidRDefault="005015D4">
      <w:pPr>
        <w:spacing w:after="159"/>
        <w:ind w:left="4"/>
      </w:pPr>
      <w:r>
        <w:rPr>
          <w:sz w:val="24"/>
        </w:rPr>
        <w:t xml:space="preserve"> </w:t>
      </w:r>
    </w:p>
    <w:p w14:paraId="6BE3A949" w14:textId="4B9BF25C" w:rsidR="002F2047" w:rsidRDefault="005015D4" w:rsidP="005015D4">
      <w:pPr>
        <w:spacing w:line="257" w:lineRule="auto"/>
        <w:ind w:right="42"/>
        <w:jc w:val="both"/>
      </w:pPr>
      <w:r>
        <w:rPr>
          <w:color w:val="222222"/>
          <w:sz w:val="24"/>
        </w:rPr>
        <w:t>Ford, K., Bellis, M.A., Hughes, K., Barton, E.R. and Newbury, A., 2020. Adverse childhood experiences: a retrospective study to understand their associations with lifetime mental health diagnosis, self-harm or suicide attempt, and current low mental wellbe</w:t>
      </w:r>
      <w:r>
        <w:rPr>
          <w:color w:val="222222"/>
          <w:sz w:val="24"/>
        </w:rPr>
        <w:t xml:space="preserve">ing in a male Welsh prison population. </w:t>
      </w:r>
      <w:r>
        <w:rPr>
          <w:i/>
          <w:color w:val="222222"/>
          <w:sz w:val="24"/>
        </w:rPr>
        <w:t>Health &amp; justice</w:t>
      </w:r>
      <w:r>
        <w:rPr>
          <w:color w:val="222222"/>
          <w:sz w:val="24"/>
        </w:rPr>
        <w:t xml:space="preserve">, </w:t>
      </w:r>
      <w:r>
        <w:rPr>
          <w:i/>
          <w:color w:val="222222"/>
          <w:sz w:val="24"/>
        </w:rPr>
        <w:t>8</w:t>
      </w:r>
      <w:r>
        <w:rPr>
          <w:color w:val="222222"/>
          <w:sz w:val="24"/>
        </w:rPr>
        <w:t xml:space="preserve">, pp.1-13. </w:t>
      </w:r>
    </w:p>
    <w:p w14:paraId="17E25593" w14:textId="77777777" w:rsidR="002F2047" w:rsidRDefault="005015D4">
      <w:pPr>
        <w:spacing w:after="1" w:line="258" w:lineRule="auto"/>
        <w:ind w:left="-1" w:hanging="10"/>
      </w:pPr>
      <w:r>
        <w:rPr>
          <w:color w:val="333333"/>
          <w:sz w:val="24"/>
        </w:rPr>
        <w:lastRenderedPageBreak/>
        <w:t xml:space="preserve">Jones CM, Merrick MT, Houry DE. Identifying and Preventing Adverse Childhood Experiences: Implications for Clinical Practice. </w:t>
      </w:r>
      <w:r>
        <w:rPr>
          <w:i/>
          <w:color w:val="333333"/>
          <w:sz w:val="24"/>
        </w:rPr>
        <w:t>JAMA.</w:t>
      </w:r>
      <w:r>
        <w:rPr>
          <w:color w:val="333333"/>
          <w:sz w:val="24"/>
        </w:rPr>
        <w:t xml:space="preserve"> 2020;323(1):25–26. </w:t>
      </w:r>
    </w:p>
    <w:p w14:paraId="60F9AC36" w14:textId="77777777" w:rsidR="002F2047" w:rsidRDefault="005015D4">
      <w:pPr>
        <w:spacing w:after="161" w:line="258" w:lineRule="auto"/>
        <w:ind w:left="-1" w:hanging="10"/>
      </w:pPr>
      <w:r>
        <w:rPr>
          <w:color w:val="333333"/>
          <w:sz w:val="24"/>
        </w:rPr>
        <w:t xml:space="preserve">doi:10.1001/jama.2019.18499 </w:t>
      </w:r>
    </w:p>
    <w:p w14:paraId="65507C37" w14:textId="77777777" w:rsidR="002F2047" w:rsidRDefault="005015D4">
      <w:r>
        <w:rPr>
          <w:color w:val="333333"/>
          <w:sz w:val="24"/>
        </w:rPr>
        <w:t xml:space="preserve"> </w:t>
      </w:r>
    </w:p>
    <w:p w14:paraId="5BBA39B2" w14:textId="77777777" w:rsidR="002F2047" w:rsidRDefault="005015D4">
      <w:pPr>
        <w:spacing w:line="257" w:lineRule="auto"/>
        <w:ind w:left="-1" w:right="42" w:hanging="10"/>
        <w:jc w:val="both"/>
      </w:pPr>
      <w:r>
        <w:rPr>
          <w:color w:val="222222"/>
          <w:sz w:val="24"/>
        </w:rPr>
        <w:t>For</w:t>
      </w:r>
      <w:r>
        <w:rPr>
          <w:color w:val="222222"/>
          <w:sz w:val="24"/>
        </w:rPr>
        <w:t xml:space="preserve">d, K., Barton, E., Newbury, A., Hughes, K., </w:t>
      </w:r>
      <w:proofErr w:type="spellStart"/>
      <w:r>
        <w:rPr>
          <w:color w:val="222222"/>
          <w:sz w:val="24"/>
        </w:rPr>
        <w:t>Bezeczky</w:t>
      </w:r>
      <w:proofErr w:type="spellEnd"/>
      <w:r>
        <w:rPr>
          <w:color w:val="222222"/>
          <w:sz w:val="24"/>
        </w:rPr>
        <w:t>, Z., Roderick, J. and Bellis, M., 2019. Understanding the prevalence of adverse childhood experiences (ACEs) in a male offender population in Wales: the prisoner ACE survey.</w:t>
      </w:r>
      <w:r>
        <w:rPr>
          <w:sz w:val="24"/>
        </w:rPr>
        <w:t xml:space="preserve"> </w:t>
      </w:r>
    </w:p>
    <w:p w14:paraId="12445B33" w14:textId="77777777" w:rsidR="002F2047" w:rsidRDefault="005015D4">
      <w:pPr>
        <w:ind w:left="4"/>
      </w:pPr>
      <w:r>
        <w:rPr>
          <w:sz w:val="24"/>
        </w:rPr>
        <w:t xml:space="preserve"> </w:t>
      </w:r>
    </w:p>
    <w:p w14:paraId="636B7ED4" w14:textId="77777777" w:rsidR="002F2047" w:rsidRDefault="005015D4">
      <w:pPr>
        <w:spacing w:after="2" w:line="257" w:lineRule="auto"/>
        <w:ind w:left="-1" w:hanging="10"/>
      </w:pPr>
      <w:r>
        <w:rPr>
          <w:sz w:val="24"/>
        </w:rPr>
        <w:t>Irish Penal Reform Trust 2</w:t>
      </w:r>
      <w:r>
        <w:rPr>
          <w:sz w:val="24"/>
        </w:rPr>
        <w:t xml:space="preserve">022, </w:t>
      </w:r>
      <w:r>
        <w:rPr>
          <w:i/>
          <w:sz w:val="24"/>
        </w:rPr>
        <w:t>Women in Detention</w:t>
      </w:r>
      <w:r>
        <w:rPr>
          <w:sz w:val="24"/>
        </w:rPr>
        <w:t xml:space="preserve">, Irish Penal Reform Trust, </w:t>
      </w:r>
    </w:p>
    <w:p w14:paraId="2DED79E9" w14:textId="77777777" w:rsidR="002F2047" w:rsidRDefault="005015D4">
      <w:pPr>
        <w:spacing w:after="0"/>
        <w:ind w:left="-1" w:hanging="10"/>
      </w:pPr>
      <w:r>
        <w:rPr>
          <w:sz w:val="24"/>
        </w:rPr>
        <w:t xml:space="preserve">viewed 29/04/2023 </w:t>
      </w:r>
      <w:hyperlink r:id="rId8" w:anchor=":~:text=In%202021%2C%20there%20were%20487,than%20for%20males%20since%202011">
        <w:r>
          <w:rPr>
            <w:sz w:val="24"/>
          </w:rPr>
          <w:t>&lt;</w:t>
        </w:r>
      </w:hyperlink>
      <w:hyperlink r:id="rId9" w:anchor=":~:text=In%202021%2C%20there%20were%20487,than%20for%20males%20since%202011">
        <w:r>
          <w:rPr>
            <w:sz w:val="24"/>
            <w:u w:val="single" w:color="000000"/>
          </w:rPr>
          <w:t>https://www.iprt.ie/women</w:t>
        </w:r>
      </w:hyperlink>
      <w:hyperlink r:id="rId10" w:anchor=":~:text=In%202021%2C%20there%20were%20487,than%20for%20males%20since%202011">
        <w:r>
          <w:rPr>
            <w:sz w:val="24"/>
            <w:u w:val="single" w:color="000000"/>
          </w:rPr>
          <w:t>-</w:t>
        </w:r>
      </w:hyperlink>
    </w:p>
    <w:p w14:paraId="0A6AB2E5" w14:textId="77777777" w:rsidR="002F2047" w:rsidRDefault="005015D4">
      <w:pPr>
        <w:spacing w:after="156"/>
        <w:ind w:left="-1" w:hanging="10"/>
      </w:pPr>
      <w:hyperlink r:id="rId11" w:anchor=":~:text=In%202021%2C%20there%20were%20487,than%20for%20males%20since%202011">
        <w:r>
          <w:rPr>
            <w:sz w:val="24"/>
            <w:u w:val="single" w:color="000000"/>
          </w:rPr>
          <w:t xml:space="preserve">offenders/#:~:text=In%202021%2C%20there%20were%20487,than%20for%20ma </w:t>
        </w:r>
      </w:hyperlink>
      <w:hyperlink r:id="rId12" w:anchor=":~:text=In%202021%2C%20there%20were%20487,than%20for%20males%20since%202011">
        <w:r>
          <w:rPr>
            <w:sz w:val="24"/>
            <w:u w:val="single" w:color="000000"/>
          </w:rPr>
          <w:t>les%20since%202011</w:t>
        </w:r>
      </w:hyperlink>
      <w:hyperlink r:id="rId13" w:anchor=":~:text=In%202021%2C%20there%20were%20487,than%20for%20males%20since%202011">
        <w:r>
          <w:rPr>
            <w:sz w:val="24"/>
          </w:rPr>
          <w:t>.</w:t>
        </w:r>
      </w:hyperlink>
      <w:r>
        <w:rPr>
          <w:sz w:val="24"/>
        </w:rPr>
        <w:t xml:space="preserve">&gt; </w:t>
      </w:r>
    </w:p>
    <w:p w14:paraId="3A5DA71A" w14:textId="77777777" w:rsidR="002F2047" w:rsidRDefault="005015D4">
      <w:pPr>
        <w:spacing w:after="354"/>
        <w:ind w:left="4"/>
      </w:pPr>
      <w:r>
        <w:rPr>
          <w:color w:val="222222"/>
          <w:sz w:val="24"/>
        </w:rPr>
        <w:t xml:space="preserve"> </w:t>
      </w:r>
    </w:p>
    <w:p w14:paraId="35E054DB" w14:textId="77777777" w:rsidR="002F2047" w:rsidRDefault="005015D4">
      <w:pPr>
        <w:pStyle w:val="Heading1"/>
        <w:ind w:left="-1"/>
      </w:pPr>
      <w:r>
        <w:t>Further Reading</w:t>
      </w:r>
      <w:r>
        <w:rPr>
          <w:color w:val="222222"/>
          <w:sz w:val="24"/>
        </w:rPr>
        <w:t xml:space="preserve"> </w:t>
      </w:r>
    </w:p>
    <w:p w14:paraId="7A24292D" w14:textId="77777777" w:rsidR="002F2047" w:rsidRDefault="005015D4">
      <w:pPr>
        <w:spacing w:after="0"/>
        <w:ind w:left="4"/>
      </w:pPr>
      <w:r>
        <w:rPr>
          <w:color w:val="333333"/>
          <w:sz w:val="24"/>
        </w:rPr>
        <w:t xml:space="preserve"> </w:t>
      </w:r>
    </w:p>
    <w:p w14:paraId="584C9876" w14:textId="77777777" w:rsidR="002F2047" w:rsidRDefault="005015D4">
      <w:pPr>
        <w:spacing w:after="184" w:line="239" w:lineRule="auto"/>
        <w:ind w:left="4" w:right="116"/>
      </w:pPr>
      <w:r>
        <w:rPr>
          <w:color w:val="333333"/>
          <w:sz w:val="24"/>
        </w:rPr>
        <w:t xml:space="preserve">Dr Perry, B &amp; Winfrey, O (2021) </w:t>
      </w:r>
      <w:r>
        <w:rPr>
          <w:i/>
          <w:color w:val="333333"/>
          <w:sz w:val="24"/>
        </w:rPr>
        <w:t>What happened to you. Conversations on Trauma, Resilience and Healing</w:t>
      </w:r>
      <w:r>
        <w:rPr>
          <w:color w:val="333333"/>
          <w:sz w:val="24"/>
        </w:rPr>
        <w:t xml:space="preserve">. New York, Flatiron </w:t>
      </w:r>
      <w:r>
        <w:rPr>
          <w:sz w:val="24"/>
        </w:rPr>
        <w:t xml:space="preserve"> </w:t>
      </w:r>
    </w:p>
    <w:p w14:paraId="0D81BD1D" w14:textId="77777777" w:rsidR="002F2047" w:rsidRDefault="005015D4">
      <w:pPr>
        <w:spacing w:after="2" w:line="257" w:lineRule="auto"/>
        <w:ind w:left="-1" w:hanging="10"/>
      </w:pPr>
      <w:proofErr w:type="spellStart"/>
      <w:r>
        <w:rPr>
          <w:sz w:val="24"/>
        </w:rPr>
        <w:t>Naish</w:t>
      </w:r>
      <w:proofErr w:type="spellEnd"/>
      <w:r>
        <w:rPr>
          <w:sz w:val="24"/>
        </w:rPr>
        <w:t xml:space="preserve">, S (2018) The A to Z of Therapeutic Parenting, </w:t>
      </w:r>
      <w:proofErr w:type="gramStart"/>
      <w:r>
        <w:rPr>
          <w:sz w:val="24"/>
        </w:rPr>
        <w:t>strategies</w:t>
      </w:r>
      <w:proofErr w:type="gramEnd"/>
      <w:r>
        <w:rPr>
          <w:sz w:val="24"/>
        </w:rPr>
        <w:t xml:space="preserve"> and Solutions.  </w:t>
      </w:r>
    </w:p>
    <w:p w14:paraId="4540B7A2" w14:textId="77777777" w:rsidR="002F2047" w:rsidRDefault="005015D4">
      <w:pPr>
        <w:spacing w:line="257" w:lineRule="auto"/>
        <w:ind w:left="-1" w:hanging="10"/>
      </w:pPr>
      <w:r>
        <w:rPr>
          <w:sz w:val="24"/>
        </w:rPr>
        <w:t xml:space="preserve">London, by Jessica Kingsley Publishers </w:t>
      </w:r>
    </w:p>
    <w:p w14:paraId="5ED1A13C" w14:textId="77777777" w:rsidR="002F2047" w:rsidRDefault="005015D4">
      <w:pPr>
        <w:spacing w:after="156"/>
        <w:ind w:left="4"/>
      </w:pPr>
      <w:r>
        <w:rPr>
          <w:sz w:val="24"/>
        </w:rPr>
        <w:t xml:space="preserve"> </w:t>
      </w:r>
    </w:p>
    <w:p w14:paraId="2B235D67" w14:textId="77777777" w:rsidR="002F2047" w:rsidRDefault="005015D4">
      <w:pPr>
        <w:spacing w:line="257" w:lineRule="auto"/>
        <w:ind w:left="-1" w:hanging="10"/>
      </w:pPr>
      <w:r>
        <w:rPr>
          <w:sz w:val="24"/>
        </w:rPr>
        <w:t>Archer, C &amp; Gordon, C (2013) Reparenting the child who hurts: A guide to healing developmental trauma and attachments. London, Jessic</w:t>
      </w:r>
      <w:r>
        <w:rPr>
          <w:sz w:val="24"/>
        </w:rPr>
        <w:t xml:space="preserve">a Kingsley Publishers </w:t>
      </w:r>
    </w:p>
    <w:p w14:paraId="06C313C2" w14:textId="77777777" w:rsidR="002F2047" w:rsidRDefault="005015D4">
      <w:pPr>
        <w:ind w:left="4"/>
      </w:pPr>
      <w:r>
        <w:rPr>
          <w:sz w:val="24"/>
        </w:rPr>
        <w:t xml:space="preserve"> </w:t>
      </w:r>
    </w:p>
    <w:p w14:paraId="04D9BD11" w14:textId="77777777" w:rsidR="002F2047" w:rsidRDefault="005015D4">
      <w:pPr>
        <w:spacing w:line="257" w:lineRule="auto"/>
        <w:ind w:left="-1" w:hanging="10"/>
      </w:pPr>
      <w:r>
        <w:rPr>
          <w:sz w:val="24"/>
        </w:rPr>
        <w:t xml:space="preserve">Cohen, J. L, </w:t>
      </w:r>
      <w:proofErr w:type="gramStart"/>
      <w:r>
        <w:rPr>
          <w:sz w:val="24"/>
        </w:rPr>
        <w:t>PH.D</w:t>
      </w:r>
      <w:proofErr w:type="gramEnd"/>
      <w:r>
        <w:rPr>
          <w:sz w:val="24"/>
        </w:rPr>
        <w:t xml:space="preserve"> (2001) Playful Parenting. New York, Ballantine Books </w:t>
      </w:r>
    </w:p>
    <w:p w14:paraId="3036E282" w14:textId="77777777" w:rsidR="002F2047" w:rsidRDefault="005015D4">
      <w:pPr>
        <w:ind w:left="4"/>
      </w:pPr>
      <w:r>
        <w:rPr>
          <w:sz w:val="24"/>
        </w:rPr>
        <w:t xml:space="preserve"> </w:t>
      </w:r>
    </w:p>
    <w:p w14:paraId="449C6AF2" w14:textId="77777777" w:rsidR="002F2047" w:rsidRDefault="005015D4">
      <w:pPr>
        <w:spacing w:after="164" w:line="256" w:lineRule="auto"/>
        <w:ind w:left="4"/>
      </w:pPr>
      <w:r>
        <w:rPr>
          <w:color w:val="2B3545"/>
          <w:sz w:val="24"/>
        </w:rPr>
        <w:t xml:space="preserve">Burke Harris N. </w:t>
      </w:r>
      <w:r>
        <w:rPr>
          <w:i/>
          <w:color w:val="2B3545"/>
          <w:sz w:val="24"/>
        </w:rPr>
        <w:t xml:space="preserve">The Deepest </w:t>
      </w:r>
      <w:proofErr w:type="gramStart"/>
      <w:r>
        <w:rPr>
          <w:i/>
          <w:color w:val="2B3545"/>
          <w:sz w:val="24"/>
        </w:rPr>
        <w:t>Well :</w:t>
      </w:r>
      <w:proofErr w:type="gramEnd"/>
      <w:r>
        <w:rPr>
          <w:i/>
          <w:color w:val="2B3545"/>
          <w:sz w:val="24"/>
        </w:rPr>
        <w:t xml:space="preserve"> Healing the Long-Term Effects of Childhood Adversity</w:t>
      </w:r>
      <w:r>
        <w:rPr>
          <w:color w:val="2B3545"/>
          <w:sz w:val="24"/>
        </w:rPr>
        <w:t xml:space="preserve">. Boston: Houghton Mifflin Harcourt; 2018. </w:t>
      </w:r>
    </w:p>
    <w:p w14:paraId="3FBF97F6" w14:textId="77777777" w:rsidR="002F2047" w:rsidRDefault="005015D4">
      <w:pPr>
        <w:ind w:left="4"/>
      </w:pPr>
      <w:r>
        <w:rPr>
          <w:color w:val="2B3545"/>
          <w:sz w:val="24"/>
        </w:rPr>
        <w:t xml:space="preserve"> </w:t>
      </w:r>
    </w:p>
    <w:p w14:paraId="34358E3C" w14:textId="77777777" w:rsidR="002F2047" w:rsidRDefault="005015D4">
      <w:pPr>
        <w:spacing w:line="257" w:lineRule="auto"/>
        <w:ind w:left="-1" w:hanging="10"/>
      </w:pPr>
      <w:r>
        <w:rPr>
          <w:sz w:val="24"/>
        </w:rPr>
        <w:t xml:space="preserve">Hoffman, K., Cooper, G., Powell, B., &amp; Benton, C. M. (2017). </w:t>
      </w:r>
      <w:r>
        <w:rPr>
          <w:i/>
          <w:sz w:val="24"/>
        </w:rPr>
        <w:t>Raising a secure child</w:t>
      </w:r>
      <w:r>
        <w:rPr>
          <w:sz w:val="24"/>
        </w:rPr>
        <w:t xml:space="preserve">. Guilford Publications. </w:t>
      </w:r>
    </w:p>
    <w:p w14:paraId="059E73C9" w14:textId="77777777" w:rsidR="002F2047" w:rsidRDefault="005015D4">
      <w:pPr>
        <w:spacing w:after="155"/>
        <w:ind w:left="4"/>
      </w:pPr>
      <w:r>
        <w:rPr>
          <w:sz w:val="24"/>
        </w:rPr>
        <w:t xml:space="preserve"> </w:t>
      </w:r>
    </w:p>
    <w:p w14:paraId="2ACC8D49" w14:textId="77777777" w:rsidR="002F2047" w:rsidRDefault="005015D4">
      <w:pPr>
        <w:spacing w:line="257" w:lineRule="auto"/>
        <w:ind w:left="-1" w:hanging="10"/>
      </w:pPr>
      <w:r>
        <w:rPr>
          <w:sz w:val="24"/>
        </w:rPr>
        <w:t xml:space="preserve">Levine. A, P </w:t>
      </w:r>
      <w:proofErr w:type="spellStart"/>
      <w:proofErr w:type="gramStart"/>
      <w:r>
        <w:rPr>
          <w:sz w:val="24"/>
        </w:rPr>
        <w:t>Ph.D</w:t>
      </w:r>
      <w:proofErr w:type="spellEnd"/>
      <w:proofErr w:type="gramEnd"/>
      <w:r>
        <w:rPr>
          <w:sz w:val="24"/>
        </w:rPr>
        <w:t xml:space="preserve"> &amp; Kline, M (2010) Trauma Through a Child's Eyes: Awakening the Ordinary Miracle of Healing. North Atlantic Books </w:t>
      </w:r>
    </w:p>
    <w:sectPr w:rsidR="002F2047">
      <w:pgSz w:w="11908" w:h="16836"/>
      <w:pgMar w:top="851" w:right="1455" w:bottom="917" w:left="1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47"/>
    <w:rsid w:val="002F2047"/>
    <w:rsid w:val="0050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973D"/>
  <w15:docId w15:val="{D9381834-D1AF-401E-A369-9B32FCEE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 w:hanging="10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t.ie/women-offenders/" TargetMode="External"/><Relationship Id="rId13" Type="http://schemas.openxmlformats.org/officeDocument/2006/relationships/hyperlink" Target="https://www.iprt.ie/women-offende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ycnet.apa.org/doi/10.1002/car.2602" TargetMode="External"/><Relationship Id="rId12" Type="http://schemas.openxmlformats.org/officeDocument/2006/relationships/hyperlink" Target="https://www.iprt.ie/women-offende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cnet.apa.org/doi/10.1002/car.2602" TargetMode="External"/><Relationship Id="rId11" Type="http://schemas.openxmlformats.org/officeDocument/2006/relationships/hyperlink" Target="https://www.iprt.ie/women-offenders/" TargetMode="External"/><Relationship Id="rId5" Type="http://schemas.openxmlformats.org/officeDocument/2006/relationships/hyperlink" Target="https://psycnet.apa.org/doi/10.1002/car.26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prt.ie/women-offenders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iprt.ie/women-offend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Fitzpatrick</dc:creator>
  <cp:keywords/>
  <cp:lastModifiedBy>Jennie Fitzpatrick</cp:lastModifiedBy>
  <cp:revision>2</cp:revision>
  <dcterms:created xsi:type="dcterms:W3CDTF">2023-05-09T09:29:00Z</dcterms:created>
  <dcterms:modified xsi:type="dcterms:W3CDTF">2023-05-09T09:29:00Z</dcterms:modified>
</cp:coreProperties>
</file>